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28 (International Transport)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[Buyer’s Note: The Buyer should discuss with its legal advisers which party is responsible for import/export formalities including paying duties due and they should ensure that appropriate provisions are included in this Call-Off Contract]</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48.0" w:type="dxa"/>
        <w:jc w:val="left"/>
        <w:tblInd w:w="1350.0" w:type="dxa"/>
        <w:tblLayout w:type="fixed"/>
        <w:tblLook w:val="0000"/>
      </w:tblPr>
      <w:tblGrid>
        <w:gridCol w:w="2429"/>
        <w:gridCol w:w="5519"/>
        <w:tblGridChange w:id="0">
          <w:tblGrid>
            <w:gridCol w:w="2429"/>
            <w:gridCol w:w="5519"/>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“Best Price Available”</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lowest price obtained by the Buyer or the Buyer Authorised Representative each Month in a binding quotation from a third party (or as published in industry market data from a recognised independent third party provider of such information) so as to meet the Buyer’s Transportation requirements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Cross refer to the document where these requirements are set 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Transportation of Products pursuant to this Call-Off Contract for the following Month for the same volume of Transportation requirements as has been notified by the Buyer to the Supplier earlier in that Month, from the same point of origin to the same final destination;  </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240" w:before="0" w:line="246.99999999999994"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“Collection of Products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shd w:fill="auto" w:val="clear"/>
            <w:tcMar>
              <w:top w:w="0.0" w:type="dxa"/>
              <w:left w:w="108.0" w:type="dxa"/>
              <w:bottom w:w="0.0" w:type="dxa"/>
              <w:right w:w="108.0" w:type="dxa"/>
            </w:tcM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point at which the Products come under the custody or control of the Supplier which shall be the point at which the Products are made available at the Site specified by the Buyer to be loaded by the Supplier onto the Transport;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this definition will need to be amended and should be discussed with your legal advisers as it describes when liability passes. Firstly, it will need to reflect who is responsible for loading and/or unloading the Products in each instance.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Secondly, it is best to be very detailed on the precise point when liability passes. You should think about whether liability passes per consignment or per full load and you should also consider how despatch is evidenced. Where the carriage and warehouse contracts are with the same entity/group of entities you should provide for end to end liability i.e. starting from when the goods are picked up to when they are end to end liability i.e. starting from when the goods are picked up to when they are delivered. Consider this provision in conjunction with the definitions of Liability Period, Delivery and paragraph 6.11.]]</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“Conventions”</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 the following as may apply to the mode of Transport selected:-</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0" w:before="0" w:line="246.99999999999994"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conventions for the Unification of Certain Rules Relating to International Carriage by Air, signed at Warsaw, Poland, on October 12, 1929, as amended by the Protocol signed at The Hague, Netherlands, on September 28, 1955 (collectively called the “Warsaw Convention”) and/or by the rules and regulations established by the Montreal Convention on the Unification of Certain Rules for International Carriage signed in Montreal on 28</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1999 (“the Montreal Convention”);</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0" w:before="0" w:line="246.99999999999994"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Convention concerning the International Carriage by Rail (COTIF)_and the Uniform Rules Concerning the Contract of International Carriage of Goods by Rail (CIM);</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0" w:before="0" w:line="246.99999999999994"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International Convention for the unification of certain rules of law relating to bills of lading signed at Brussels on 25th August 1924, as amended by the Protocol signed at Brussels on 23rd February 1968[and by the Protocol signed at Brussels on 21st December 1979]; and/or</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Convention on the Contract for the International Carriage of Goods by Road.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You should discuss with your advisers whether to include all of this definition. It is not possible to contract out of the conventions and you should take advice so that you fully understand the implications]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of Products”</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point at which the Products leave the custody and control of the Supplier, which shall be the point at which the Products are unloaded from the Transportation and made available to the Buyer, its agent or Subcontractor at the Buyer’s nominated location;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this definition will need to be amended and should be discussed with your advisers as it describes when liability passes. Firstly, it will need to reflect who is responsible for loading and/or unloading the Products in each instance.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Secondly, it is best to be very detailed on the precise point when liability passes. You should think about whether liability passes per consignment or per full load and you should also consider how despatch is evidenced. Where the carriage and warehouse contracts are with the same entity/group of entities you should provide for end to end liability i.e. starting from when the goods are collected to when they are delivered. Consider this provision in conjunction with the definitions of Liability Period, Collection and paragraph 6.11.]]</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“Freight Costs”</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the Transportation payable by the Buyer, as approved in accordance with Call-Off Schedule 5 (Pricing Details) or the Order Form (as the case may be);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Amend to state which document sets out the requirements]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“Freight Services”</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Transportation of Products to be provided by the Supplier in accordance with this Call-Off Schedule and the Call-Off Schedule 20 (Specification) or the Order Form (as the case may be);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 [Buyer Note: Amend to state which document sets out the requirements]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“Instruction”</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written confirmation of each order for the Transportation setting out the Buyer’s specific requirements for that order or as set out 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20 (Specification)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Order Form (as applicable)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Amend to state which document sets out the requirements]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"Liability Period"</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starting with Collection of Products and ending on Delivery of Products;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Fee”</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fixed fee (calculated at a flat rate and not, for the avoidance of doubt, a percentage of costs) payable to the Supplier by the Buyer (subject to the terms of Call-Off Schedule 14 (Service Levels) (if applicable)) as set out in Call-Off Schedule 5 (Pricing Details) or the Order Form (as the case may be)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Specify where this is set 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management and delivery of Freight Services in a cost-effective and timely manner and in accordance with the Buyer’s instructions so as to meet the Buyer’s requirements in respect of transportation of the Products;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“Operational Board Meeting”</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of the Operational Board referred to in Call-Off Schedule 15 (Call-Off Contract Management);</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“Operator”</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operator of the Transport if that is not the Supplier or an associated company of the Supplier;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Consider which definition of associated company is appropriate with your advisers]</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“Products”</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mean any goods or products of the Buyer or delivered by a third party on behalf of the Buyer to the relevant Site;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Management Platform”</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platform or solution for management of (i) the international transportation of goods, including the Products and/or (ii) the warehousing and/or stock control of goods, including the Products (as the case may be); and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This provision will need to be amended depending on whether the Platform is a web-based portal or a more complex Platform requiring integration with the Buyer’s system. If the latter, it will be necessary to add to cross-refer to the Core Terms. Consider this provision in conjunction with paragraph 6]</w:t>
            </w:r>
            <w:r w:rsidDel="00000000" w:rsidR="00000000" w:rsidRPr="00000000">
              <w:rPr>
                <w:rtl w:val="0"/>
              </w:rPr>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6.9999999999999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“Transportation or Transport”</w:t>
            </w: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transportation which may include air, rail, road and/or sea for the time being operated in connection with any Product Transportation.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You should ensure that the mode of transport is addressed in the specification including any specific requirements as to the type of vehicles/transportation containers. You should then cross-refer here to the specification]</w:t>
            </w:r>
            <w:r w:rsidDel="00000000" w:rsidR="00000000" w:rsidRPr="00000000">
              <w:rPr>
                <w:rtl w:val="0"/>
              </w:rPr>
            </w:r>
          </w:p>
        </w:tc>
      </w:tr>
    </w:tbl>
    <w:p w:rsidR="00000000" w:rsidDel="00000000" w:rsidP="00000000" w:rsidRDefault="00000000" w:rsidRPr="00000000" w14:paraId="0000002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and how this Call-Off Schedule should be used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is designed to provide the additional provisions necessary to facilitate the provision of Freight Services as outlined in the Call-Off Schedule 20 (Specification) or the Order Form (as the case may be). The Parties shall comply with the terms of this Call-Off Schedule if the Buyer has indicated on the Order Form that Freight Services form part of the Services to be provided under the Call-Off Contract.</w:t>
      </w:r>
    </w:p>
    <w:p w:rsidR="00000000" w:rsidDel="00000000" w:rsidP="00000000" w:rsidRDefault="00000000" w:rsidRPr="00000000" w14:paraId="0000002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Freight Management Services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and shall ensure that its employees, directors, officers, agents and Subcontractors comply with all relevant Law relating to the provision of the Freight Services including ensuring that the Operators hold all licences required to operate the Transportation and undertake the Transportation;</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all bookings for the Products are made with the relevant Operators in accordance with the requirements set out in the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Form</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(Specification)</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Amend to state which document sets out the requirements]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co-ordinate, liaise and maintain co-operation with the Buyer, Operator, hauliers, carriers, freight providers and all third parties involved in the supply chain for the Products so as to ensure timely and effective Collection of Products and Delivery of Products;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If fixed delivery dates are required, you will need to amend this definition]</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3.1.3, co-ordinate with the Buyer, Operator and all third parties involved in the supply chain for the Products in respect of any special requirements or conditions for carriage of those Products, including temperature controls and/or handling requirements; and</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2520" w:right="0" w:firstLine="30.99999999999994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If there are any special requirements, these should be addressed in the specification]</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responsible for the acts or omissions of the Subcontractors as if they were their own acts or omissions.</w:t>
      </w:r>
    </w:p>
    <w:p w:rsidR="00000000" w:rsidDel="00000000" w:rsidP="00000000" w:rsidRDefault="00000000" w:rsidRPr="00000000" w14:paraId="0000003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Obligations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take reasonable steps to:</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Products forming the subject of a Transportation are available and ready for loading onto the Transport in accordance with the written operating instructions of the Operator (as such operating instructions are notified to the Buyer, its agents and Subcontractors by the Supplier no less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prior to the due date of Collection of Products) at the place specified by the Buyer and at the time and date specified by the Operator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Specify where]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Products forming the subject of a Transportation are packaged and packed for carriage, safe handling and protection from weather conditions to which such Products may be exposed in accordance with the written operating instructions of the Operator (as such operating instructions are notified to the Buyer, its agents and Subcontractors by the Supplier no less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prior to the due date of Collection of Products);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Products and shall, whenever required, furnish such information and deliver such documents as may be necessary to comply with such laws and regulations;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the issue and delivery on its behalf by its agents and Subcontractors of all waybills, consignment notes and other shipping documentation reasonably required by the Operator and all relevant border and enforcement agencies. In addition, the Buyer shall procure the provision on its behalf by its agents and Subcontractors, upon request by the Supplier (which shall be made direct to the Buyer’s agents and Subcontractors) and prior to the Transportation, of a written declaration with a complete and accurate description of the Products to be transported, including the value of the Products (as declared), the weight of the Products and any other information which the Supplier may reasonably request.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air waybill shall be deemed to be an air waybill within the meaning of the Conventions.][Buyer Note: Please discuss these provisions with your legal advisers as they may require amendment, depending on which party is responsible for customs clearance and on the mode of transport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Reporting</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 requested to do so by the Buyer, at no charge, make the Supplier’s Management Platform available for use by the Buyer and/or its Buyer Authorised Representatives and/or provide such other form of reporting as the Buyer may reasonably require to record, and provide visibility to the Buyer in respect of, the Supplier’s provision of the Freight Services.</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procure the right for the Buyer to use the Supplier’s Management Platform during the Contract Period solely for the purpose of receiving and monitoring the Freight Services provided to the Buyer under this Call-Off Contract.</w:t>
      </w:r>
    </w:p>
    <w:p w:rsidR="00000000" w:rsidDel="00000000" w:rsidP="00000000" w:rsidRDefault="00000000" w:rsidRPr="00000000" w14:paraId="0000003F">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843"/>
        </w:tabs>
        <w:spacing w:after="120" w:before="120" w:line="276"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This provision will need to be amended depending on whether the Platform is a web-based portal or a more complex Platform requiring integration with the Buyer’s system. If the latter, it will be necessary to cross-refer to the Core Terms. Consider this provision in conjunction with the definition of Supplier’s Management Platform]</w:t>
      </w:r>
      <w:r w:rsidDel="00000000" w:rsidR="00000000" w:rsidRPr="00000000">
        <w:rPr>
          <w:rtl w:val="0"/>
        </w:rPr>
      </w:r>
    </w:p>
    <w:p w:rsidR="00000000" w:rsidDel="00000000" w:rsidP="00000000" w:rsidRDefault="00000000" w:rsidRPr="00000000" w14:paraId="0000004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Handling and responsibility for Products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Products will be and will remain the exclusive property of the Buyer at all times, or where applicable (with reference to the terms of purchase between the Buyer and the supplier of those Products) the property of the supplier of such Products.</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Title to or ownership of the Products shall not pass to the Supplier under this Call-Off Contract and the Supplier will assert no interest in the Products at any time.</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acquire any contractual, statutory or common law lien over the Products or any other property belonging to or in the possession of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6.3, the Supplier waives, and agrees not to assert, nor take any action to claim or perfect, any lien, charge or other encumbrance on any such Products or any portion thereof.</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the Supplier engages Operators, Subcontractors or agents in connection with the Freight Services, it will ensure that such Operators, Subcontractors or agents are also prevented from claiming or perfecting liens against the Products.</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plant, materials, apparatus and tools used or provided by the Supplier for the provision of the Freight Services or part thereof shall at all times be at the sole risk of the Supplier.</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risk in and responsibility for quantity and condition of the Products will be with the Supplier from Collection of Products and will continue until Delivery of Products.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Note: this provision may need to be amended depending on the time at which risk passes which will be informed by who is responsible for loading and/or unloading of the Products in each instance.]</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maintain at all times during the Contract Period and for a period of at least six (6) years afterwards, with an insurer of repute, sufficient insurance to cover its potential liability under this Call-Off Contract (including liability for loss or damage to the Products) and as a minimum, the policies and level of cover set out in Joint Schedule 3 (Insurance Requirements) or Additional Insurances</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send a copy of the receipt for the insurance premiums to the Buyer. On the Buyer's written request, the Supplier shall provide the Buyer with copies of the insurance policy certificates and details of the cover provided for the insurance required under Paragraph 6.8.</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such Products solely to the Buyer’s order;</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Products safe, dry and secure;</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Products separate from other third party Products and clearly labelled so as to be readily identifiable as the Buyer’s Products or where applicable (with reference to the terms of purchase between the Buyer and the supplier of those Products) the property of the supplier of such Products;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remove, deface or obscure any identifying mark or packaging on or relating to Products;</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and maintain the Products in good condition and in accordance with the Buyer’s written instructions from time to time (including those set out in the Specification or the Order Form (as the case may be) and shall not dispose of or use the Products other than in accordance with the Buyer’s written instructions or authorisation.</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liable for losses destruction of or damage to the Products during the Liability Period including without limitation, theft, misappropriation or damage caused by the Supplier, its employees, agents or representatives while the Products are in the custody or under the control of the Supplier.</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liability for loss or damage to the Products shall be to the full replacement value of the Products as notified by the Buyer to the Supplier and any exclusions in the Supplier’s insurance coverage shall not remove or restrict the Supplier’s liability in this respect. No additional limitation of the Supplier’s liability may apply, unless the Supplier first obtains the express written consent of the Buyer.</w:t>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Non-Delivery</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Buyer, consignee or third party taking Delivery of Products on behalf of the Buyer fail to take Delivery of Products at the appointed time and place (owing solely to the acts, omissions or delays on the part of the Buyer, its agents or Subcontractors),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immediately with an explanation as to why it was unable to deliver the Products;</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liaise with the Buyer to set an alternative date and time for Delivery of Products;</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store and where applicable transport the Products appropriately and in secure, dry and watertight conditions and in accordance with any reasonable instructions notified to it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store the Products separately from any other property and clearly labelled so as to be readily identifiable as the Buyer’s Products or where applicable (with reference to the terms of purchase between the Buyer and the supplier of those Products) the property of the supplier of such Products;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remove, deface or obscure any identifying mark or packaging on or relating to Products;</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such Products solely to the Buyer’s order;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any reasonable instructions of the Buyer in relation to any such Products;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attempt to re-deliver the Products in accordance with the Buyer’s instructions </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Products shall not pass to the Buyer until the successful Delivery of Products;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no circumstances should any undelivered Products be destroyed without the prior written consent of the Buyer.</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Supplier has complied strictly with the provisions of Paragraph 7.1, the Supplier shall be entitled to recover from the Buyer, reasonable storage fees and delivery costs validly raised by the Operator in connection with any failure to take Delivery of Products under Paragraph 7.1 and the Buyer shall pay to the Supplier an amount equal to any such costs upon receipt of a valid demand for payment from the Supplier in accordance with the provisions of Clause 4 of the Core Terms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requirement of Law to account for the Freight Services in any currency other than Sterling, (or to prepare for such accounting) instead of and/or in addition to Sterling, shall be implemented by the Supplier free of charge to the Buyer.</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reasonable assistance to facilitate compliance with Paragraph 7.1 by the Supplier.</w:t>
      </w:r>
    </w:p>
    <w:p w:rsidR="00000000" w:rsidDel="00000000" w:rsidP="00000000" w:rsidRDefault="00000000" w:rsidRPr="00000000" w14:paraId="0000006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bookmarkStart w:colFirst="0" w:colLast="0" w:name="_heading=h.3whwml4" w:id="24"/>
      <w:bookmarkEnd w:id="2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Foreign Currency</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requirement of Law to account for the Freight Services in any currency other than Sterling, (or to prepare for such accounting) instead of and/or in addition to Sterling, shall be implemented by the Supplier free of charge to the Buyer.</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reasonable assistance to facilitate compliance with Paragraph 8.1 by the Supplier.</w:t>
      </w:r>
    </w:p>
    <w:p w:rsidR="00000000" w:rsidDel="00000000" w:rsidP="00000000" w:rsidRDefault="00000000" w:rsidRPr="00000000" w14:paraId="0000006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Liability  </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and to the extent that a part of the Freight Services provided by the Supplier is subject to compulsory application of any Convention, the Supplier’s liability to the Buyer in respect of loss of or damage to the Products in the course of providing those particular Freight Services shall be determined according to the principles of the relevant Convention.</w:t>
      </w:r>
    </w:p>
    <w:p w:rsidR="00000000" w:rsidDel="00000000" w:rsidP="00000000" w:rsidRDefault="00000000" w:rsidRPr="00000000" w14:paraId="0000006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6.99999999999994"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Freight Services  </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Freight Services so as to meet the Buyer’s Freight requirements for Transportation of the Products (as such requirements are notified to the Supplier in advance in accordance with the terms of this Call-Off Contract).</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Transportation at the commencement of each Transportation properly manned and equipped in accordance with the Law of the state of registration of the Transportation and the Transportation shall be operated in accordance with all applicable Law during the period of the Transportation(s).</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entitled to recover from the Buyer all reasonable cancellation fees, demurrage and any other additional costs validly raised by the Supplier, as well as the costs of other Subcontractors affected, where a Transportation duly booked by the Supplier is cancelled or delayed owing solely to the acts, omissions or delays on the part of the Buyer, its agents or Subcontractors and the Buyer shall pay such fees, costs and charges in accordance with the provisions of Call-Off Schedule 5 (Pricing Details) or the Order Form (as the case may be) provided that the Supplier:</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obtains the express written approval of the Buyer for any such fees, costs and charges prior to booking the Transport; and</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6.99999999999994" w:lineRule="auto"/>
        <w:ind w:left="2520" w:right="0" w:hanging="108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all reasonable endeavours to mitigate such fees, costs and charges.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6.99999999999994"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cancellation fees, demurrage and additional costs incurred by the Supplier owing to its failure or default shall be borne by the Supplier.</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6.99999999999994" w:lineRule="auto"/>
        <w:ind w:left="1440" w:right="0" w:hanging="720"/>
        <w:jc w:val="both"/>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to which the Freight Services constitute international carriage, the rules and limitations established by the Convention shall apply to each Transportation insofar as such rules are compulsory.</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4" w:top="1560" w:left="1304" w:right="130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99"/>
      </w:tabs>
      <w:spacing w:after="0" w:before="0" w:line="244"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99"/>
      </w:tabs>
      <w:spacing w:after="0" w:before="0" w:line="244"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RM6329</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99"/>
      </w:tabs>
      <w:spacing w:after="0" w:before="0" w:line="24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0"/>
        <w:tab w:val="right" w:leader="none" w:pos="9299"/>
      </w:tabs>
      <w:spacing w:after="0" w:before="0" w:line="24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RM6282</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fldChar w:fldCharType="begin"/>
      <w:instrText xml:space="preserve"> DOCPROPERTY "CUS_DocIDChunk0"</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LEGAL\65105641v3</w:t>
    </w:r>
    <w:r w:rsidDel="00000000" w:rsidR="00000000" w:rsidRPr="00000000">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28 (International Transport)</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2024</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49"/>
        <w:tab w:val="right" w:leader="none" w:pos="9299"/>
      </w:tabs>
      <w:spacing w:after="0" w:before="0" w:line="244"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49"/>
        <w:tab w:val="right" w:leader="none" w:pos="9299"/>
      </w:tabs>
      <w:spacing w:after="0" w:before="0" w:line="24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Schedule </w:t>
    </w:r>
    <w:r w:rsidDel="00000000" w:rsidR="00000000" w:rsidRPr="00000000">
      <w:rPr>
        <w:b w:val="1"/>
        <w:rtl w:val="0"/>
      </w:rPr>
      <w:t xml:space="preserve">28</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(International Transport)</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49"/>
        <w:tab w:val="right" w:leader="none" w:pos="9299"/>
      </w:tabs>
      <w:spacing w:after="0" w:before="0" w:line="24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49"/>
        <w:tab w:val="right" w:leader="none" w:pos="9299"/>
      </w:tabs>
      <w:spacing w:after="0" w:before="0" w:line="244"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Crown Copyright 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z w:val="24"/>
        <w:szCs w:val="24"/>
      </w:rPr>
    </w:lvl>
    <w:lvl w:ilvl="1">
      <w:start w:val="1"/>
      <w:numFmt w:val="decimal"/>
      <w:lvlText w:val="%1.%2"/>
      <w:lvlJc w:val="left"/>
      <w:pPr>
        <w:ind w:left="1440" w:hanging="720"/>
      </w:pPr>
      <w:rPr>
        <w:rFonts w:ascii="Arial" w:cs="Arial" w:eastAsia="Arial" w:hAnsi="Arial"/>
        <w:b w:val="1"/>
        <w:sz w:val="24"/>
        <w:szCs w:val="24"/>
      </w:rPr>
    </w:lvl>
    <w:lvl w:ilvl="2">
      <w:start w:val="1"/>
      <w:numFmt w:val="decimal"/>
      <w:lvlText w:val="%1.%2.%3"/>
      <w:lvlJc w:val="left"/>
      <w:pPr>
        <w:ind w:left="2520" w:hanging="1080"/>
      </w:pPr>
      <w:rPr/>
    </w:lvl>
    <w:lvl w:ilvl="3">
      <w:start w:val="1"/>
      <w:numFmt w:val="decimal"/>
      <w:lvlText w:val="%1.%2.%3.%4."/>
      <w:lvlJc w:val="left"/>
      <w:pPr>
        <w:ind w:left="3960" w:hanging="1440"/>
      </w:pPr>
      <w:rPr/>
    </w:lvl>
    <w:lvl w:ilvl="4">
      <w:start w:val="1"/>
      <w:numFmt w:val="lowerRoman"/>
      <w:lvlText w:val="(%5)"/>
      <w:lvlJc w:val="left"/>
      <w:pPr>
        <w:ind w:left="4680" w:hanging="720"/>
      </w:pPr>
      <w:rPr/>
    </w:lvl>
    <w:lvl w:ilvl="5">
      <w:start w:val="1"/>
      <w:numFmt w:val="decimal"/>
      <w:lvlText w:val="%6​"/>
      <w:lvlJc w:val="left"/>
      <w:pPr>
        <w:ind w:left="0" w:firstLine="0"/>
      </w:pPr>
      <w:rPr/>
    </w:lvl>
    <w:lvl w:ilvl="6">
      <w:start w:val="1"/>
      <w:numFmt w:val="decimal"/>
      <w:lvlText w:val="%7​"/>
      <w:lvlJc w:val="left"/>
      <w:pPr>
        <w:ind w:left="0" w:firstLine="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2">
    <w:lvl w:ilvl="0">
      <w:start w:val="0"/>
      <w:numFmt w:val="bullet"/>
      <w:lvlText w:val="●"/>
      <w:lvlJc w:val="left"/>
      <w:pPr>
        <w:ind w:left="720" w:hanging="360"/>
      </w:pPr>
      <w:rPr>
        <w:rFonts w:ascii="Noto Sans Symbols" w:cs="Noto Sans Symbols" w:eastAsia="Noto Sans Symbols" w:hAnsi="Noto Sans Symbols"/>
        <w:b w:val="0"/>
        <w:sz w:val="24"/>
        <w:szCs w:val="24"/>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246.99999999999994" w:lineRule="auto"/>
    </w:pPr>
    <w:rPr>
      <w:rFonts w:ascii="Arial Bold" w:cs="Arial Bold" w:eastAsia="Arial Bold" w:hAnsi="Arial Bold"/>
      <w:b w:val="1"/>
      <w:smallCaps w:val="1"/>
      <w:color w:val="000000"/>
    </w:rPr>
  </w:style>
  <w:style w:type="paragraph" w:styleId="Heading2">
    <w:name w:val="heading 2"/>
    <w:basedOn w:val="Normal"/>
    <w:next w:val="Normal"/>
    <w:pPr>
      <w:keepNext w:val="1"/>
      <w:keepLines w:val="1"/>
      <w:spacing w:after="240" w:line="246.99999999999994" w:lineRule="auto"/>
    </w:pPr>
    <w:rPr>
      <w:b w:val="1"/>
      <w:color w:val="000000"/>
    </w:rPr>
  </w:style>
  <w:style w:type="paragraph" w:styleId="Heading3">
    <w:name w:val="heading 3"/>
    <w:basedOn w:val="Normal"/>
    <w:next w:val="Normal"/>
    <w:pPr>
      <w:keepNext w:val="1"/>
      <w:keepLines w:val="1"/>
      <w:spacing w:before="240" w:line="244" w:lineRule="auto"/>
    </w:pPr>
    <w:rPr>
      <w:rFonts w:ascii="Arial Bold" w:cs="Arial Bold" w:eastAsia="Arial Bold" w:hAnsi="Arial Bold"/>
      <w:b w:val="1"/>
      <w:i w:val="1"/>
      <w:color w:val="000000"/>
      <w:sz w:val="22"/>
      <w:szCs w:val="22"/>
    </w:rPr>
  </w:style>
  <w:style w:type="paragraph" w:styleId="Heading4">
    <w:name w:val="heading 4"/>
    <w:basedOn w:val="Normal"/>
    <w:next w:val="Normal"/>
    <w:pPr>
      <w:keepNext w:val="1"/>
      <w:keepLines w:val="1"/>
      <w:spacing w:before="240" w:line="244" w:lineRule="auto"/>
    </w:pPr>
    <w:rPr>
      <w:rFonts w:ascii="Calibri" w:cs="Calibri" w:eastAsia="Calibri" w:hAnsi="Calibri"/>
      <w:i w:val="1"/>
      <w:color w:val="000000"/>
      <w:sz w:val="22"/>
      <w:szCs w:val="22"/>
    </w:rPr>
  </w:style>
  <w:style w:type="paragraph" w:styleId="Heading5">
    <w:name w:val="heading 5"/>
    <w:basedOn w:val="Normal"/>
    <w:next w:val="Normal"/>
    <w:pPr>
      <w:keepNext w:val="1"/>
      <w:keepLines w:val="1"/>
      <w:spacing w:before="240" w:line="244" w:lineRule="auto"/>
    </w:pPr>
    <w:rPr>
      <w:rFonts w:ascii="Arial Bold" w:cs="Arial Bold" w:eastAsia="Arial Bold" w:hAnsi="Arial Bold"/>
      <w:b w:val="1"/>
      <w:color w:val="000000"/>
      <w:sz w:val="22"/>
      <w:szCs w:val="22"/>
    </w:rPr>
  </w:style>
  <w:style w:type="paragraph" w:styleId="Heading6">
    <w:name w:val="heading 6"/>
    <w:basedOn w:val="Normal"/>
    <w:next w:val="Normal"/>
    <w:pPr>
      <w:keepNext w:val="1"/>
      <w:keepLines w:val="1"/>
      <w:spacing w:before="240" w:line="244" w:lineRule="auto"/>
    </w:pPr>
    <w:rPr>
      <w:rFonts w:ascii="Arial Bold" w:cs="Arial Bold" w:eastAsia="Arial Bold" w:hAnsi="Arial Bold"/>
      <w:b w:val="1"/>
      <w:color w:val="000000"/>
      <w:sz w:val="22"/>
      <w:szCs w:val="22"/>
    </w:rPr>
  </w:style>
  <w:style w:type="paragraph" w:styleId="Title">
    <w:name w:val="Title"/>
    <w:basedOn w:val="Normal"/>
    <w:next w:val="Normal"/>
    <w:pPr>
      <w:keepNext w:val="1"/>
      <w:keepLines w:val="1"/>
      <w:spacing w:after="160" w:line="244" w:lineRule="auto"/>
      <w:jc w:val="center"/>
    </w:pPr>
    <w:rPr>
      <w:rFonts w:ascii="Arial Bold" w:cs="Arial Bold" w:eastAsia="Arial Bold" w:hAnsi="Arial Bold"/>
      <w:b w:val="1"/>
      <w:smallCaps w:val="1"/>
      <w:color w:val="000000"/>
      <w:sz w:val="22"/>
      <w:szCs w:val="22"/>
    </w:rPr>
  </w:style>
  <w:style w:type="paragraph" w:styleId="Normal" w:default="1">
    <w:name w:val="Normal"/>
    <w:pPr>
      <w:widowControl w:val="1"/>
      <w:suppressAutoHyphens w:val="1"/>
      <w:jc w:val="both"/>
    </w:pPr>
  </w:style>
  <w:style w:type="paragraph" w:styleId="Heading1">
    <w:name w:val="heading 1"/>
    <w:basedOn w:val="Normal"/>
    <w:next w:val="Standard"/>
    <w:pPr>
      <w:keepNext w:val="1"/>
      <w:keepLines w:val="1"/>
      <w:spacing w:after="240" w:line="247" w:lineRule="auto"/>
      <w:outlineLvl w:val="0"/>
    </w:pPr>
    <w:rPr>
      <w:rFonts w:ascii="Arial Bold" w:cs="Arial Bold" w:eastAsia="Arial Bold" w:hAnsi="Arial Bold"/>
      <w:b w:val="1"/>
      <w:smallCaps w:val="1"/>
      <w:color w:val="000000"/>
      <w:szCs w:val="22"/>
    </w:rPr>
  </w:style>
  <w:style w:type="paragraph" w:styleId="Heading2">
    <w:name w:val="heading 2"/>
    <w:basedOn w:val="Normal"/>
    <w:next w:val="Standard"/>
    <w:pPr>
      <w:keepNext w:val="1"/>
      <w:keepLines w:val="1"/>
      <w:spacing w:after="240" w:line="247" w:lineRule="auto"/>
      <w:outlineLvl w:val="1"/>
    </w:pPr>
    <w:rPr>
      <w:rFonts w:cs="Arial Bold" w:eastAsia="Arial Bold"/>
      <w:b w:val="1"/>
      <w:color w:val="000000"/>
      <w:szCs w:val="22"/>
    </w:rPr>
  </w:style>
  <w:style w:type="paragraph" w:styleId="Heading3">
    <w:name w:val="heading 3"/>
    <w:basedOn w:val="Normal"/>
    <w:next w:val="Standard"/>
    <w:pPr>
      <w:keepNext w:val="1"/>
      <w:keepLines w:val="1"/>
      <w:spacing w:before="240" w:line="244" w:lineRule="auto"/>
      <w:outlineLvl w:val="2"/>
    </w:pPr>
    <w:rPr>
      <w:rFonts w:ascii="Arial Bold" w:cs="Arial Bold" w:eastAsia="Arial Bold" w:hAnsi="Arial Bold"/>
      <w:b w:val="1"/>
      <w:i w:val="1"/>
      <w:color w:val="000000"/>
      <w:sz w:val="22"/>
      <w:szCs w:val="22"/>
    </w:rPr>
  </w:style>
  <w:style w:type="paragraph" w:styleId="Heading4">
    <w:name w:val="heading 4"/>
    <w:basedOn w:val="Normal"/>
    <w:next w:val="Standard"/>
    <w:pPr>
      <w:keepNext w:val="1"/>
      <w:keepLines w:val="1"/>
      <w:spacing w:before="240" w:line="244" w:lineRule="auto"/>
      <w:outlineLvl w:val="3"/>
    </w:pPr>
    <w:rPr>
      <w:rFonts w:ascii="Calibri" w:cs="Calibri" w:eastAsia="Calibri" w:hAnsi="Calibri"/>
      <w:i w:val="1"/>
      <w:color w:val="000000"/>
      <w:sz w:val="22"/>
      <w:szCs w:val="22"/>
    </w:rPr>
  </w:style>
  <w:style w:type="paragraph" w:styleId="Heading5">
    <w:name w:val="heading 5"/>
    <w:basedOn w:val="Normal"/>
    <w:next w:val="Standard"/>
    <w:pPr>
      <w:keepNext w:val="1"/>
      <w:keepLines w:val="1"/>
      <w:spacing w:before="240" w:line="244" w:lineRule="auto"/>
      <w:outlineLvl w:val="4"/>
    </w:pPr>
    <w:rPr>
      <w:rFonts w:ascii="Arial Bold" w:cs="Arial Bold" w:eastAsia="Arial Bold" w:hAnsi="Arial Bold"/>
      <w:b w:val="1"/>
      <w:color w:val="000000"/>
      <w:sz w:val="22"/>
      <w:szCs w:val="22"/>
    </w:rPr>
  </w:style>
  <w:style w:type="paragraph" w:styleId="Heading6">
    <w:name w:val="heading 6"/>
    <w:basedOn w:val="Normal"/>
    <w:next w:val="Standard"/>
    <w:pPr>
      <w:keepNext w:val="1"/>
      <w:keepLines w:val="1"/>
      <w:spacing w:before="240" w:line="244" w:lineRule="auto"/>
      <w:outlineLvl w:val="5"/>
    </w:pPr>
    <w:rPr>
      <w:rFonts w:ascii="Arial Bold" w:cs="Arial Bold" w:eastAsia="Arial Bold" w:hAnsi="Arial Bold"/>
      <w:b w:val="1"/>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uppressAutoHyphens w:val="1"/>
      <w:jc w:val="both"/>
    </w:pPr>
  </w:style>
  <w:style w:type="paragraph" w:styleId="Heading" w:customStyle="1">
    <w:name w:val="Heading"/>
    <w:basedOn w:val="Standard"/>
    <w:next w:val="Textbody"/>
    <w:pPr>
      <w:keepNext w:val="1"/>
      <w:spacing w:after="120" w:before="240"/>
    </w:pPr>
    <w:rPr>
      <w:rFonts w:ascii="Liberation Sans" w:cs="Linux Libertine G" w:eastAsia="Linux Libertine G" w:hAnsi="Liberation Sans"/>
      <w:sz w:val="28"/>
      <w:szCs w:val="28"/>
    </w:rPr>
  </w:style>
  <w:style w:type="paragraph" w:styleId="Textbody" w:customStyle="1">
    <w:name w:val="Text body"/>
    <w:basedOn w:val="Normal"/>
    <w:pPr>
      <w:spacing w:after="240" w:line="247" w:lineRule="auto"/>
    </w:pPr>
  </w:style>
  <w:style w:type="paragraph" w:styleId="List">
    <w:name w:val="List"/>
    <w:basedOn w:val="Textbody"/>
  </w:style>
  <w:style w:type="paragraph" w:styleId="Caption">
    <w:name w:val="caption"/>
    <w:basedOn w:val="Standard"/>
    <w:pPr>
      <w:suppressLineNumbers w:val="1"/>
      <w:spacing w:after="120" w:before="120"/>
    </w:pPr>
    <w:rPr>
      <w:i w:val="1"/>
      <w:iCs w:val="1"/>
    </w:rPr>
  </w:style>
  <w:style w:type="paragraph" w:styleId="Index" w:customStyle="1">
    <w:name w:val="Index"/>
    <w:basedOn w:val="Standard"/>
    <w:pPr>
      <w:suppressLineNumbers w:val="1"/>
    </w:pPr>
  </w:style>
  <w:style w:type="paragraph" w:styleId="Title">
    <w:name w:val="Title"/>
    <w:basedOn w:val="Normal"/>
    <w:next w:val="Standard"/>
    <w:pPr>
      <w:keepNext w:val="1"/>
      <w:keepLines w:val="1"/>
      <w:spacing w:after="160" w:line="244" w:lineRule="auto"/>
      <w:jc w:val="center"/>
    </w:pPr>
    <w:rPr>
      <w:rFonts w:ascii="Arial Bold" w:cs="Arial Bold" w:eastAsia="Arial Bold" w:hAnsi="Arial Bold"/>
      <w:b w:val="1"/>
      <w:smallCaps w:val="1"/>
      <w:color w:val="000000"/>
      <w:sz w:val="22"/>
      <w:szCs w:val="22"/>
    </w:rPr>
  </w:style>
  <w:style w:type="paragraph" w:styleId="Subtitle">
    <w:name w:val="Subtitle"/>
    <w:basedOn w:val="Normal"/>
    <w:next w:val="Standard"/>
    <w:pPr>
      <w:spacing w:after="160" w:line="244" w:lineRule="auto"/>
    </w:pPr>
    <w:rPr>
      <w:rFonts w:ascii="Calibri" w:cs="Calibri" w:eastAsia="Calibri" w:hAnsi="Calibri"/>
      <w:i w:val="1"/>
      <w:color w:val="000000"/>
      <w:sz w:val="22"/>
      <w:szCs w:val="2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ListParagraph">
    <w:name w:val="List Paragraph"/>
    <w:basedOn w:val="Normal"/>
    <w:pPr>
      <w:ind w:left="720"/>
    </w:pPr>
  </w:style>
  <w:style w:type="paragraph" w:styleId="CommentText">
    <w:name w:val="annotation text"/>
    <w:basedOn w:val="Normal"/>
  </w:style>
  <w:style w:type="paragraph" w:styleId="CommentSubject">
    <w:name w:val="annotation subject"/>
    <w:basedOn w:val="CommentText"/>
    <w:rPr>
      <w:b w:val="1"/>
      <w:bCs w:val="1"/>
    </w:rPr>
  </w:style>
  <w:style w:type="paragraph" w:styleId="HeadingLevel1" w:customStyle="1">
    <w:name w:val="Heading Level 1"/>
    <w:basedOn w:val="Normal"/>
    <w:pPr>
      <w:keepNext w:val="1"/>
      <w:keepLines w:val="1"/>
      <w:spacing w:after="160" w:line="247" w:lineRule="auto"/>
      <w:outlineLvl w:val="0"/>
    </w:pPr>
    <w:rPr>
      <w:rFonts w:cs="Times New Roman" w:eastAsia="Cambria"/>
      <w:b w:val="1"/>
      <w:szCs w:val="22"/>
      <w:lang w:eastAsia="en-US"/>
    </w:rPr>
  </w:style>
  <w:style w:type="paragraph" w:styleId="HeadingLevel2" w:customStyle="1">
    <w:name w:val="Heading Level 2"/>
    <w:basedOn w:val="Normal"/>
    <w:pPr>
      <w:spacing w:after="240" w:line="247" w:lineRule="auto"/>
      <w:outlineLvl w:val="1"/>
    </w:pPr>
    <w:rPr>
      <w:rFonts w:cs="Times New Roman" w:eastAsia="Cambria"/>
      <w:szCs w:val="22"/>
      <w:lang w:eastAsia="en-US"/>
    </w:rPr>
  </w:style>
  <w:style w:type="paragraph" w:styleId="HeadingLevel3" w:customStyle="1">
    <w:name w:val="Heading Level 3"/>
    <w:basedOn w:val="Normal"/>
    <w:pPr>
      <w:spacing w:after="240" w:line="247" w:lineRule="auto"/>
      <w:outlineLvl w:val="2"/>
    </w:pPr>
    <w:rPr>
      <w:rFonts w:cs="Times New Roman" w:eastAsia="Cambria"/>
      <w:szCs w:val="22"/>
      <w:lang w:eastAsia="en-US"/>
    </w:rPr>
  </w:style>
  <w:style w:type="paragraph" w:styleId="HeadingLevel4" w:customStyle="1">
    <w:name w:val="Heading Level 4"/>
    <w:basedOn w:val="Normal"/>
    <w:pPr>
      <w:spacing w:after="240" w:line="247" w:lineRule="auto"/>
      <w:outlineLvl w:val="3"/>
    </w:pPr>
    <w:rPr>
      <w:rFonts w:cs="Times New Roman" w:eastAsia="Cambria"/>
      <w:szCs w:val="22"/>
      <w:lang w:eastAsia="en-US"/>
    </w:rPr>
  </w:style>
  <w:style w:type="paragraph" w:styleId="HeadingLevel5" w:customStyle="1">
    <w:name w:val="Heading Level 5"/>
    <w:basedOn w:val="Normal"/>
    <w:pPr>
      <w:spacing w:after="240" w:line="247" w:lineRule="auto"/>
      <w:outlineLvl w:val="4"/>
    </w:pPr>
    <w:rPr>
      <w:rFonts w:cs="Times New Roman" w:eastAsia="Cambria"/>
      <w:szCs w:val="22"/>
      <w:lang w:eastAsia="en-US"/>
    </w:rPr>
  </w:style>
  <w:style w:type="paragraph" w:styleId="HeadingLevel6" w:customStyle="1">
    <w:name w:val="Heading Level 6"/>
    <w:basedOn w:val="Normal"/>
    <w:pPr>
      <w:keepNext w:val="1"/>
      <w:keepLines w:val="1"/>
      <w:outlineLvl w:val="5"/>
    </w:pPr>
    <w:rPr>
      <w:rFonts w:cs="Times New Roman" w:eastAsia="Cambria"/>
      <w:b w:val="1"/>
      <w:sz w:val="21"/>
      <w:szCs w:val="22"/>
      <w:lang w:eastAsia="en-US"/>
    </w:rPr>
  </w:style>
  <w:style w:type="paragraph" w:styleId="HeadingLevel7" w:customStyle="1">
    <w:name w:val="Heading Level 7"/>
    <w:basedOn w:val="Normal"/>
    <w:pPr>
      <w:keepNext w:val="1"/>
      <w:keepLines w:val="1"/>
      <w:outlineLvl w:val="6"/>
    </w:pPr>
    <w:rPr>
      <w:rFonts w:cs="Times New Roman" w:eastAsia="Cambria"/>
      <w:b w:val="1"/>
      <w:sz w:val="21"/>
      <w:szCs w:val="22"/>
      <w:lang w:eastAsia="en-US"/>
    </w:rPr>
  </w:style>
  <w:style w:type="paragraph" w:styleId="HeadingLevel8" w:customStyle="1">
    <w:name w:val="Heading Level 8"/>
    <w:basedOn w:val="Normal"/>
    <w:pPr>
      <w:keepNext w:val="1"/>
      <w:keepLines w:val="1"/>
      <w:outlineLvl w:val="7"/>
    </w:pPr>
    <w:rPr>
      <w:rFonts w:cs="Times New Roman" w:eastAsia="Cambria"/>
      <w:b w:val="1"/>
      <w:sz w:val="21"/>
      <w:szCs w:val="22"/>
      <w:lang w:eastAsia="en-US"/>
    </w:rPr>
  </w:style>
  <w:style w:type="paragraph" w:styleId="HeadingLevel9" w:customStyle="1">
    <w:name w:val="Heading Level 9"/>
    <w:basedOn w:val="Normal"/>
    <w:pPr>
      <w:keepNext w:val="1"/>
      <w:keepLines w:val="1"/>
      <w:outlineLvl w:val="8"/>
    </w:pPr>
    <w:rPr>
      <w:rFonts w:cs="Times New Roman" w:eastAsia="Cambria"/>
      <w:b w:val="1"/>
      <w:sz w:val="21"/>
      <w:szCs w:val="22"/>
      <w:lang w:eastAsia="en-US"/>
    </w:rPr>
  </w:style>
  <w:style w:type="paragraph" w:styleId="BodyText2">
    <w:name w:val="Body Text 2"/>
    <w:basedOn w:val="Normal"/>
    <w:pPr>
      <w:spacing w:after="240" w:line="247" w:lineRule="auto"/>
      <w:ind w:left="1440"/>
    </w:pPr>
  </w:style>
  <w:style w:type="paragraph" w:styleId="BodyText3">
    <w:name w:val="Body Text 3"/>
    <w:basedOn w:val="Normal"/>
    <w:pPr>
      <w:spacing w:after="240" w:line="247" w:lineRule="auto"/>
      <w:ind w:left="2520"/>
    </w:pPr>
    <w:rPr>
      <w:szCs w:val="16"/>
    </w:rPr>
  </w:style>
  <w:style w:type="paragraph" w:styleId="DocID" w:customStyle="1">
    <w:name w:val="DocID"/>
    <w:basedOn w:val="Footer"/>
    <w:next w:val="Footer"/>
    <w:pPr>
      <w:tabs>
        <w:tab w:val="clear" w:pos="4513"/>
        <w:tab w:val="clear" w:pos="9026"/>
      </w:tabs>
      <w:jc w:val="right"/>
    </w:pPr>
    <w:rPr>
      <w:rFonts w:cs="Times New Roman" w:eastAsia="Times New Roman"/>
      <w:sz w:val="16"/>
    </w:rPr>
  </w:style>
  <w:style w:type="paragraph" w:styleId="BodyTextIndent">
    <w:name w:val="Body Text Indent"/>
    <w:basedOn w:val="Textbody"/>
    <w:pPr>
      <w:ind w:left="720"/>
    </w:pPr>
  </w:style>
  <w:style w:type="paragraph" w:styleId="Revision">
    <w:name w:val="Revision"/>
    <w:pPr>
      <w:widowControl w:val="1"/>
      <w:suppressAutoHyphens w:val="1"/>
      <w:jc w:val="both"/>
    </w:pPr>
  </w:style>
  <w:style w:type="character" w:styleId="HeaderChar" w:customStyle="1">
    <w:name w:val="Header Char"/>
    <w:basedOn w:val="DefaultParagraphFont"/>
  </w:style>
  <w:style w:type="character" w:styleId="FooterChar" w:customStyle="1">
    <w:name w:val="Footer Char"/>
    <w:basedOn w:val="DefaultParagraphFont"/>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style>
  <w:style w:type="character" w:styleId="CommentSubjectChar" w:customStyle="1">
    <w:name w:val="Comment Subject Char"/>
    <w:basedOn w:val="CommentTextChar"/>
    <w:rPr>
      <w:b w:val="1"/>
      <w:bCs w:val="1"/>
    </w:rPr>
  </w:style>
  <w:style w:type="character" w:styleId="BodyText2Char" w:customStyle="1">
    <w:name w:val="Body Text 2 Char"/>
    <w:basedOn w:val="DefaultParagraphFont"/>
    <w:rPr>
      <w:sz w:val="24"/>
    </w:rPr>
  </w:style>
  <w:style w:type="character" w:styleId="BodyText3Char" w:customStyle="1">
    <w:name w:val="Body Text 3 Char"/>
    <w:basedOn w:val="DefaultParagraphFont"/>
    <w:rPr>
      <w:sz w:val="24"/>
      <w:szCs w:val="16"/>
    </w:rPr>
  </w:style>
  <w:style w:type="character" w:styleId="BodyTextChar" w:customStyle="1">
    <w:name w:val="Body Text Char"/>
    <w:basedOn w:val="DefaultParagraphFont"/>
    <w:rPr>
      <w:sz w:val="24"/>
    </w:rPr>
  </w:style>
  <w:style w:type="character" w:styleId="DocIDChar" w:customStyle="1">
    <w:name w:val="DocID Char"/>
    <w:basedOn w:val="DefaultParagraphFont"/>
    <w:rPr>
      <w:rFonts w:cs="Times New Roman" w:eastAsia="Times New Roman"/>
      <w:sz w:val="16"/>
      <w:lang w:eastAsia="en-GB" w:val="en-GB"/>
    </w:rPr>
  </w:style>
  <w:style w:type="character" w:styleId="BodyTextFirstIndentChar" w:customStyle="1">
    <w:name w:val="Body Text First Indent Char"/>
    <w:basedOn w:val="BodyTextChar"/>
    <w:rPr>
      <w:sz w:val="24"/>
    </w:rPr>
  </w:style>
  <w:style w:type="character" w:styleId="ListLabel1" w:customStyle="1">
    <w:name w:val="ListLabel 1"/>
    <w:rPr>
      <w:rFonts w:ascii="Arial" w:cs="Arial" w:eastAsia="Arial" w:hAnsi="Arial"/>
      <w:b w:val="1"/>
      <w:i w:val="0"/>
      <w:sz w:val="24"/>
    </w:rPr>
  </w:style>
  <w:style w:type="character" w:styleId="ListLabel2" w:customStyle="1">
    <w:name w:val="ListLabel 2"/>
    <w:rPr>
      <w:rFonts w:ascii="Arial" w:cs="Arial" w:eastAsia="Arial" w:hAnsi="Arial"/>
      <w:b w:val="1"/>
      <w:sz w:val="24"/>
    </w:rPr>
  </w:style>
  <w:style w:type="character" w:styleId="ListLabel3" w:customStyle="1">
    <w:name w:val="ListLabel 3"/>
    <w:rPr>
      <w:rFonts w:cs="Arial" w:eastAsia="Arial"/>
    </w:rPr>
  </w:style>
  <w:style w:type="character" w:styleId="ListLabel4" w:customStyle="1">
    <w:name w:val="ListLabel 4"/>
    <w:rPr>
      <w:rFonts w:cs="Arial" w:eastAsia="Arial"/>
    </w:rPr>
  </w:style>
  <w:style w:type="character" w:styleId="ListLabel5" w:customStyle="1">
    <w:name w:val="ListLabel 5"/>
    <w:rPr>
      <w:rFonts w:cs="Arial" w:eastAsia="Arial"/>
    </w:rPr>
  </w:style>
  <w:style w:type="character" w:styleId="ListLabel6" w:customStyle="1">
    <w:name w:val="ListLabel 6"/>
    <w:rPr>
      <w:caps w:val="0"/>
      <w:smallCaps w:val="0"/>
      <w:strike w:val="0"/>
      <w:dstrike w:val="0"/>
      <w:color w:val="000000"/>
      <w:position w:val="0"/>
      <w:sz w:val="20"/>
      <w:szCs w:val="20"/>
      <w:u w:val="none"/>
      <w:vertAlign w:val="baseline"/>
    </w:rPr>
  </w:style>
  <w:style w:type="character" w:styleId="ListLabel7" w:customStyle="1">
    <w:name w:val="ListLabel 7"/>
    <w:rPr>
      <w:rFonts w:ascii="Arial" w:cs="Noto Sans Symbols" w:eastAsia="Noto Sans Symbols" w:hAnsi="Arial"/>
      <w:b w:val="0"/>
      <w:sz w:val="24"/>
    </w:rPr>
  </w:style>
  <w:style w:type="character" w:styleId="ListLabel8" w:customStyle="1">
    <w:name w:val="ListLabel 8"/>
    <w:rPr>
      <w:rFonts w:cs="Courier New" w:eastAsia="Courier New"/>
    </w:rPr>
  </w:style>
  <w:style w:type="character" w:styleId="ListLabel9" w:customStyle="1">
    <w:name w:val="ListLabel 9"/>
    <w:rPr>
      <w:rFonts w:cs="Noto Sans Symbols" w:eastAsia="Noto Sans Symbols"/>
    </w:rPr>
  </w:style>
  <w:style w:type="character" w:styleId="ListLabel10" w:customStyle="1">
    <w:name w:val="ListLabel 10"/>
    <w:rPr>
      <w:rFonts w:cs="Noto Sans Symbols" w:eastAsia="Noto Sans Symbols"/>
    </w:rPr>
  </w:style>
  <w:style w:type="character" w:styleId="ListLabel11" w:customStyle="1">
    <w:name w:val="ListLabel 11"/>
    <w:rPr>
      <w:rFonts w:cs="Courier New" w:eastAsia="Courier New"/>
    </w:rPr>
  </w:style>
  <w:style w:type="character" w:styleId="ListLabel12" w:customStyle="1">
    <w:name w:val="ListLabel 12"/>
    <w:rPr>
      <w:rFonts w:cs="Noto Sans Symbols" w:eastAsia="Noto Sans Symbols"/>
    </w:rPr>
  </w:style>
  <w:style w:type="character" w:styleId="ListLabel13" w:customStyle="1">
    <w:name w:val="ListLabel 13"/>
    <w:rPr>
      <w:rFonts w:cs="Noto Sans Symbols" w:eastAsia="Noto Sans Symbols"/>
    </w:rPr>
  </w:style>
  <w:style w:type="character" w:styleId="ListLabel14" w:customStyle="1">
    <w:name w:val="ListLabel 14"/>
    <w:rPr>
      <w:rFonts w:cs="Courier New" w:eastAsia="Courier New"/>
    </w:rPr>
  </w:style>
  <w:style w:type="character" w:styleId="ListLabel15" w:customStyle="1">
    <w:name w:val="ListLabel 15"/>
    <w:rPr>
      <w:rFonts w:cs="Noto Sans Symbols" w:eastAsia="Noto Sans Symbols"/>
    </w:rPr>
  </w:style>
  <w:style w:type="paragraph" w:styleId="BalloonText">
    <w:name w:val="Balloon Text"/>
    <w:basedOn w:val="Normal"/>
    <w:rPr>
      <w:rFonts w:ascii="Segoe UI" w:cs="Mangal" w:hAnsi="Segoe UI"/>
      <w:sz w:val="18"/>
      <w:szCs w:val="16"/>
    </w:rPr>
  </w:style>
  <w:style w:type="character" w:styleId="BalloonTextChar" w:customStyle="1">
    <w:name w:val="Balloon Text Char"/>
    <w:basedOn w:val="DefaultParagraphFont"/>
    <w:rPr>
      <w:rFonts w:ascii="Segoe UI" w:cs="Mangal" w:hAnsi="Segoe UI"/>
      <w:sz w:val="18"/>
      <w:szCs w:val="16"/>
    </w:rPr>
  </w:style>
  <w:style w:type="paragraph" w:styleId="NoSpacing">
    <w:name w:val="No Spacing"/>
    <w:pPr>
      <w:widowControl w:val="1"/>
      <w:suppressAutoHyphens w:val="1"/>
      <w:jc w:val="both"/>
    </w:pPr>
    <w:rPr>
      <w:rFonts w:cs="Mangal"/>
      <w:szCs w:val="21"/>
    </w:rPr>
  </w:style>
  <w:style w:type="numbering" w:styleId="NoList1" w:customStyle="1">
    <w:name w:val="No List_1"/>
    <w:basedOn w:val="NoList"/>
    <w:pPr>
      <w:numPr>
        <w:numId w:val="1"/>
      </w:numPr>
    </w:pPr>
  </w:style>
  <w:style w:type="numbering" w:styleId="HeadingNumbering" w:customStyle="1">
    <w:name w:val="Heading Numbering"/>
    <w:basedOn w:val="NoList"/>
    <w:pPr>
      <w:numPr>
        <w:numId w:val="2"/>
      </w:numPr>
    </w:pPr>
  </w:style>
  <w:style w:type="numbering" w:styleId="WWNum1" w:customStyle="1">
    <w:name w:val="WWNum1"/>
    <w:basedOn w:val="NoList"/>
    <w:pPr>
      <w:numPr>
        <w:numId w:val="3"/>
      </w:numPr>
    </w:pPr>
  </w:style>
  <w:style w:type="numbering" w:styleId="WWNum2" w:customStyle="1">
    <w:name w:val="WWNum2"/>
    <w:basedOn w:val="NoList"/>
    <w:pPr>
      <w:numPr>
        <w:numId w:val="4"/>
      </w:numPr>
    </w:pPr>
  </w:style>
  <w:style w:type="numbering" w:styleId="WWNum3" w:customStyle="1">
    <w:name w:val="WWNum3"/>
    <w:basedOn w:val="NoList"/>
    <w:pPr>
      <w:numPr>
        <w:numId w:val="5"/>
      </w:numPr>
    </w:pPr>
  </w:style>
  <w:style w:type="paragraph" w:styleId="Subtitle">
    <w:name w:val="Subtitle"/>
    <w:basedOn w:val="Normal"/>
    <w:next w:val="Normal"/>
    <w:pPr>
      <w:spacing w:after="160" w:line="244" w:lineRule="auto"/>
    </w:pPr>
    <w:rPr>
      <w:rFonts w:ascii="Calibri" w:cs="Calibri" w:eastAsia="Calibri" w:hAnsi="Calibri"/>
      <w:i w:val="1"/>
      <w:color w:val="000000"/>
      <w:sz w:val="22"/>
      <w:szCs w:val="22"/>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iLjzpmJKSp7T6a/2hjoeCcr1e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FweGV6d2M4AHIhMXJkUGM1LXFMYjU1VUxZRHlxRTFfemFwcVBCZmI5OV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2024-02-08T16:00:00Z</dcterms:created>
  <dc:creator>Claire Wilson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100352</vt:lpwstr>
  </property>
  <property fmtid="{D5CDD505-2E9C-101B-9397-08002B2CF9AE}" pid="3" name="CUS_DocIDChunk0">
    <vt:lpwstr>LEGAL\65105641v3</vt:lpwstr>
  </property>
  <property fmtid="{D5CDD505-2E9C-101B-9397-08002B2CF9AE}" pid="4" name="CUS_DocIDLocation">
    <vt:lpwstr>EVERY_PAGE</vt:lpwstr>
  </property>
  <property fmtid="{D5CDD505-2E9C-101B-9397-08002B2CF9AE}" pid="5" name="CUS_DocIDReference">
    <vt:lpwstr>everyPage</vt:lpwstr>
  </property>
  <property fmtid="{D5CDD505-2E9C-101B-9397-08002B2CF9AE}" pid="6" name="CUS_DocIDString">
    <vt:lpwstr>LEGAL\65105641v3</vt:lpwstr>
  </property>
  <property fmtid="{D5CDD505-2E9C-101B-9397-08002B2CF9AE}" pid="7" name="CUS_DocIDChunk0">
    <vt:lpwstr>LEGAL\65105641v3</vt:lpwstr>
  </property>
  <property fmtid="{D5CDD505-2E9C-101B-9397-08002B2CF9AE}" pid="8" name="CUS_DocIDReference">
    <vt:lpwstr>everyPage</vt:lpwstr>
  </property>
  <property fmtid="{D5CDD505-2E9C-101B-9397-08002B2CF9AE}" pid="9" name="CUS_DocIDString">
    <vt:lpwstr>LEGAL\65105641v3</vt:lpwstr>
  </property>
  <property fmtid="{D5CDD505-2E9C-101B-9397-08002B2CF9AE}" pid="10" name="CUS_DocIDLocation">
    <vt:lpwstr>EVERY_PAGE</vt:lpwstr>
  </property>
  <property fmtid="{D5CDD505-2E9C-101B-9397-08002B2CF9AE}" pid="11" name="CUS_DocIDActiveBits">
    <vt:lpwstr>100352</vt:lpwstr>
  </property>
</Properties>
</file>